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EA6" w:rsidRDefault="00B61EA6" w:rsidP="00B61EA6">
      <w:r>
        <w:t>8.2. Eingangsumfrage des Schuljahres 2009/10</w:t>
      </w:r>
    </w:p>
    <w:p w:rsidR="00B61EA6" w:rsidRDefault="00B61EA6" w:rsidP="00B61EA6"/>
    <w:p w:rsidR="00B61EA6" w:rsidRDefault="00B61EA6" w:rsidP="00B61EA6">
      <w:r>
        <w:t xml:space="preserve">Die geschlechtsspezifische Untersuchung bezüglich </w:t>
      </w:r>
      <w:proofErr w:type="spellStart"/>
      <w:r>
        <w:t>Lernstil</w:t>
      </w:r>
      <w:proofErr w:type="spellEnd"/>
      <w:r>
        <w:t xml:space="preserve"> und </w:t>
      </w:r>
      <w:proofErr w:type="spellStart"/>
      <w:r>
        <w:t>Lerntyp</w:t>
      </w:r>
      <w:proofErr w:type="spellEnd"/>
      <w:r>
        <w:t xml:space="preserve"> erfolgte am Anfang des Schuljahres 2009/10, um geeignete Lehr- und Lernmethoden im Unterricht einzusetzen. Insgesamt wurden 65 Schülerinnen und Schüler aus vier Notebook-Klassen (1ITK, 2ITK, 3 ITK und 4 ITK) befragt. (Fragebogen siehe Anhang Seite</w:t>
      </w:r>
      <w:r w:rsidRPr="00FD062B">
        <w:rPr>
          <w:color w:val="FF0000"/>
        </w:rPr>
        <w:t>…</w:t>
      </w:r>
      <w:r>
        <w:t>)</w:t>
      </w:r>
    </w:p>
    <w:p w:rsidR="00B61EA6" w:rsidRDefault="00B61EA6" w:rsidP="00B61EA6">
      <w:r>
        <w:t>Die folgenden Grafiken zeigen die Mittelwerte (Skala: 1..</w:t>
      </w:r>
      <w:proofErr w:type="gramStart"/>
      <w:r>
        <w:t>nie</w:t>
      </w:r>
      <w:proofErr w:type="gramEnd"/>
      <w:r>
        <w:t xml:space="preserve"> bis 5..sehr) der einzelnen Einschätzungen aufgeteilt nach dem Geschlecht.</w:t>
      </w:r>
    </w:p>
    <w:p w:rsidR="00B61EA6" w:rsidRDefault="00B61EA6" w:rsidP="00B61EA6"/>
    <w:p w:rsidR="00B61EA6" w:rsidRDefault="00B61EA6" w:rsidP="00B61EA6"/>
    <w:p w:rsidR="00B61EA6" w:rsidRDefault="00B61EA6" w:rsidP="00B61EA6"/>
    <w:p w:rsidR="00B61EA6" w:rsidRDefault="00B61EA6" w:rsidP="00B61EA6"/>
    <w:p w:rsidR="00B61EA6" w:rsidRDefault="00B61EA6" w:rsidP="00B61EA6">
      <w:r>
        <w:rPr>
          <w:noProof/>
          <w:lang w:eastAsia="de-AT"/>
        </w:rPr>
        <w:pict>
          <v:oval id="_x0000_s1042" style="position:absolute;left:0;text-align:left;margin-left:339.1pt;margin-top:213.3pt;width:93.6pt;height:32.15pt;z-index:251676672">
            <v:fill opacity="0"/>
            <v:textbox style="mso-next-textbox:#_x0000_s1042">
              <w:txbxContent>
                <w:p w:rsidR="00B61EA6" w:rsidRDefault="00B61EA6" w:rsidP="00B61EA6">
                  <w:r>
                    <w:t>signifikant</w:t>
                  </w:r>
                </w:p>
              </w:txbxContent>
            </v:textbox>
          </v:oval>
        </w:pict>
      </w:r>
      <w:r>
        <w:rPr>
          <w:noProof/>
          <w:lang w:eastAsia="de-A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60.65pt;margin-top:269.45pt;width:46.15pt;height:25.55pt;z-index:251669504;mso-width-relative:margin;mso-height-relative:margin">
            <v:textbox style="mso-next-textbox:#_x0000_s1035">
              <w:txbxContent>
                <w:p w:rsidR="00B61EA6" w:rsidRPr="008F4611" w:rsidRDefault="00B61EA6" w:rsidP="00B61EA6">
                  <w:r>
                    <w:t>sehr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 id="_x0000_s1032" type="#_x0000_t202" style="position:absolute;left:0;text-align:left;margin-left:56.65pt;margin-top:269.45pt;width:53.1pt;height:25.55pt;z-index:251666432;mso-width-relative:margin;mso-height-relative:margin">
            <v:textbox style="mso-next-textbox:#_x0000_s1032">
              <w:txbxContent>
                <w:p w:rsidR="00B61EA6" w:rsidRPr="008F4611" w:rsidRDefault="00B61EA6" w:rsidP="00B61EA6">
                  <w:r>
                    <w:t>kaum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 id="_x0000_s1034" type="#_x0000_t202" style="position:absolute;left:0;text-align:left;margin-left:180.85pt;margin-top:269.45pt;width:68.35pt;height:25.55pt;z-index:251668480;mso-width-relative:margin;mso-height-relative:margin">
            <v:textbox style="mso-next-textbox:#_x0000_s1034">
              <w:txbxContent>
                <w:p w:rsidR="00B61EA6" w:rsidRPr="008F4611" w:rsidRDefault="00B61EA6" w:rsidP="00B61EA6">
                  <w:r>
                    <w:t>ziemlich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oval id="_x0000_s1040" style="position:absolute;left:0;text-align:left;margin-left:109.75pt;margin-top:152.1pt;width:93.6pt;height:32.15pt;z-index:251674624">
            <v:fill opacity="0"/>
          </v:oval>
        </w:pict>
      </w:r>
      <w:r>
        <w:rPr>
          <w:noProof/>
          <w:lang w:eastAsia="de-AT"/>
        </w:rPr>
        <w:pict>
          <v:shape id="_x0000_s1036" type="#_x0000_t202" style="position:absolute;left:0;text-align:left;margin-left:2.05pt;margin-top:269.45pt;width:41.1pt;height:25.55pt;z-index:251670528;mso-width-relative:margin;mso-height-relative:margin">
            <v:textbox style="mso-next-textbox:#_x0000_s1036">
              <w:txbxContent>
                <w:p w:rsidR="00B61EA6" w:rsidRPr="008F4611" w:rsidRDefault="00B61EA6" w:rsidP="00B61EA6">
                  <w:r>
                    <w:t>nie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 id="_x0000_s1033" type="#_x0000_t202" style="position:absolute;left:0;text-align:left;margin-left:119.65pt;margin-top:269.45pt;width:45.9pt;height:25.55pt;z-index:251667456;mso-width-relative:margin;mso-height-relative:margin">
            <v:textbox style="mso-next-textbox:#_x0000_s1033">
              <w:txbxContent>
                <w:p w:rsidR="00B61EA6" w:rsidRPr="008F4611" w:rsidRDefault="00B61EA6" w:rsidP="00B61EA6">
                  <w:r>
                    <w:t>etwas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 id="_x0000_s1028" type="#_x0000_t202" style="position:absolute;left:0;text-align:left;margin-left:-29.15pt;margin-top:59.1pt;width:92.3pt;height:25.55pt;z-index:251662336;mso-width-relative:margin;mso-height-relative:margin">
            <v:textbox style="mso-next-textbox:#_x0000_s1028">
              <w:txbxContent>
                <w:p w:rsidR="00B61EA6" w:rsidRPr="008F4611" w:rsidRDefault="00B61EA6" w:rsidP="00B61EA6">
                  <w:r>
                    <w:t>Emotional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 id="_x0000_s1029" type="#_x0000_t202" style="position:absolute;left:0;text-align:left;margin-left:-29.15pt;margin-top:92.1pt;width:92.3pt;height:25.55pt;z-index:251663360;mso-width-relative:margin;mso-height-relative:margin">
            <v:textbox style="mso-next-textbox:#_x0000_s1029">
              <w:txbxContent>
                <w:p w:rsidR="00B61EA6" w:rsidRPr="008F4611" w:rsidRDefault="00B61EA6" w:rsidP="00B61EA6">
                  <w:r>
                    <w:t>Ganzheitlich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 id="_x0000_s1030" type="#_x0000_t202" style="position:absolute;left:0;text-align:left;margin-left:-29.15pt;margin-top:124.5pt;width:92.3pt;height:25.55pt;z-index:251664384;mso-width-relative:margin;mso-height-relative:margin">
            <v:textbox style="mso-next-textbox:#_x0000_s1030">
              <w:txbxContent>
                <w:p w:rsidR="00B61EA6" w:rsidRPr="008F4611" w:rsidRDefault="00B61EA6" w:rsidP="00B61EA6">
                  <w:r>
                    <w:t>Individuell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 id="_x0000_s1031" type="#_x0000_t202" style="position:absolute;left:0;text-align:left;margin-left:-29.15pt;margin-top:158.7pt;width:92.3pt;height:25.55pt;z-index:251665408;mso-width-relative:margin;mso-height-relative:margin">
            <v:textbox style="mso-next-textbox:#_x0000_s1031">
              <w:txbxContent>
                <w:p w:rsidR="00B61EA6" w:rsidRPr="008F4611" w:rsidRDefault="00B61EA6" w:rsidP="00B61EA6">
                  <w:r>
                    <w:t>Rationell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 id="_x0000_s1027" type="#_x0000_t202" style="position:absolute;left:0;text-align:left;margin-left:-29.15pt;margin-top:190.85pt;width:92.3pt;height:25.55pt;z-index:251661312;mso-width-relative:margin;mso-height-relative:margin">
            <v:textbox style="mso-next-textbox:#_x0000_s1027">
              <w:txbxContent>
                <w:p w:rsidR="00B61EA6" w:rsidRPr="008F4611" w:rsidRDefault="00B61EA6" w:rsidP="00B61EA6">
                  <w:r>
                    <w:t>Analytisch</w:t>
                  </w:r>
                </w:p>
              </w:txbxContent>
            </v:textbox>
          </v:shape>
        </w:pict>
      </w:r>
      <w:r w:rsidRPr="001B13AF">
        <w:rPr>
          <w:noProof/>
          <w:lang w:val="de-DE" w:eastAsia="en-US"/>
        </w:rPr>
        <w:pict>
          <v:shape id="_x0000_s1026" type="#_x0000_t202" style="position:absolute;left:0;text-align:left;margin-left:-29.15pt;margin-top:219.9pt;width:92.3pt;height:25.55pt;z-index:251660288;mso-width-relative:margin;mso-height-relative:margin">
            <v:textbox style="mso-next-textbox:#_x0000_s1026">
              <w:txbxContent>
                <w:p w:rsidR="00B61EA6" w:rsidRPr="008F4611" w:rsidRDefault="00B61EA6" w:rsidP="00B61EA6">
                  <w:r>
                    <w:t>Kommunikativ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drawing>
          <wp:inline distT="0" distB="0" distL="0" distR="0">
            <wp:extent cx="4572000" cy="3786505"/>
            <wp:effectExtent l="0" t="0" r="0" b="0"/>
            <wp:docPr id="2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t xml:space="preserve"> </w:t>
      </w:r>
    </w:p>
    <w:p w:rsidR="00B61EA6" w:rsidRDefault="00B61EA6" w:rsidP="00B61EA6">
      <w:pPr>
        <w:pStyle w:val="Beschriftung"/>
      </w:pPr>
      <w:bookmarkStart w:id="0" w:name="_Toc266053540"/>
      <w:r>
        <w:t xml:space="preserve">Abbildung </w:t>
      </w:r>
      <w:fldSimple w:instr=" SEQ Abbildung \* ARABIC ">
        <w:r>
          <w:rPr>
            <w:noProof/>
          </w:rPr>
          <w:t>9</w:t>
        </w:r>
      </w:fldSimple>
      <w:r>
        <w:t xml:space="preserve">: Mittelwerte </w:t>
      </w:r>
      <w:proofErr w:type="spellStart"/>
      <w:r>
        <w:t>Lernstil</w:t>
      </w:r>
      <w:bookmarkEnd w:id="0"/>
      <w:proofErr w:type="spellEnd"/>
    </w:p>
    <w:p w:rsidR="00B61EA6" w:rsidRDefault="00B61EA6" w:rsidP="00B61EA6"/>
    <w:p w:rsidR="00B61EA6" w:rsidRDefault="00B61EA6" w:rsidP="00B61EA6"/>
    <w:p w:rsidR="00B61EA6" w:rsidRDefault="00B61EA6" w:rsidP="00B61EA6"/>
    <w:p w:rsidR="00B61EA6" w:rsidRDefault="00B61EA6" w:rsidP="00B61EA6"/>
    <w:p w:rsidR="00B61EA6" w:rsidRDefault="00B61EA6" w:rsidP="00B61EA6"/>
    <w:p w:rsidR="00B61EA6" w:rsidRDefault="00B61EA6" w:rsidP="00B61EA6"/>
    <w:p w:rsidR="00B61EA6" w:rsidRDefault="00B61EA6" w:rsidP="00B61EA6"/>
    <w:p w:rsidR="00B61EA6" w:rsidRDefault="00B61EA6" w:rsidP="00B61EA6"/>
    <w:p w:rsidR="00B61EA6" w:rsidRDefault="00B61EA6" w:rsidP="00B61EA6">
      <w:r>
        <w:rPr>
          <w:noProof/>
          <w:lang w:eastAsia="de-AT"/>
        </w:rPr>
        <w:lastRenderedPageBreak/>
        <w:pict>
          <v:shape id="_x0000_s1038" type="#_x0000_t202" style="position:absolute;left:0;text-align:left;margin-left:2.05pt;margin-top:91.65pt;width:92.3pt;height:25.55pt;z-index:251672576;mso-width-relative:margin;mso-height-relative:margin">
            <v:textbox style="mso-next-textbox:#_x0000_s1038">
              <w:txbxContent>
                <w:p w:rsidR="00B61EA6" w:rsidRPr="008F4611" w:rsidRDefault="00B61EA6" w:rsidP="00B61EA6">
                  <w:r>
                    <w:t>Visueller Typ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oval id="_x0000_s1043" style="position:absolute;left:0;text-align:left;margin-left:383.2pt;margin-top:179.2pt;width:93.6pt;height:32.15pt;z-index:251677696">
            <v:fill opacity="0"/>
            <v:textbox style="mso-next-textbox:#_x0000_s1043">
              <w:txbxContent>
                <w:p w:rsidR="00B61EA6" w:rsidRDefault="00B61EA6" w:rsidP="00B61EA6">
                  <w:r>
                    <w:t>signifikant</w:t>
                  </w:r>
                </w:p>
              </w:txbxContent>
            </v:textbox>
          </v:oval>
        </w:pict>
      </w:r>
      <w:r>
        <w:rPr>
          <w:noProof/>
          <w:lang w:eastAsia="de-AT"/>
        </w:rPr>
        <w:pict>
          <v:oval id="_x0000_s1041" style="position:absolute;left:0;text-align:left;margin-left:201.9pt;margin-top:147.05pt;width:93.6pt;height:32.15pt;z-index:251675648">
            <v:fill opacity="0"/>
          </v:oval>
        </w:pict>
      </w:r>
      <w:r>
        <w:rPr>
          <w:noProof/>
          <w:lang w:eastAsia="de-AT"/>
        </w:rPr>
        <w:pict>
          <v:shape id="_x0000_s1037" type="#_x0000_t202" style="position:absolute;left:0;text-align:left;margin-left:2.05pt;margin-top:147.05pt;width:92.3pt;height:25.55pt;z-index:251671552;mso-width-relative:margin;mso-height-relative:margin">
            <v:textbox style="mso-next-textbox:#_x0000_s1037">
              <w:txbxContent>
                <w:p w:rsidR="00B61EA6" w:rsidRPr="008F4611" w:rsidRDefault="00B61EA6" w:rsidP="00B61EA6">
                  <w:r>
                    <w:t>Auditiver Typ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pict>
          <v:shape id="_x0000_s1039" type="#_x0000_t202" style="position:absolute;left:0;text-align:left;margin-left:2.05pt;margin-top:31pt;width:92.3pt;height:35.25pt;z-index:251673600;mso-width-relative:margin;mso-height-relative:margin">
            <v:textbox style="mso-next-textbox:#_x0000_s1039">
              <w:txbxContent>
                <w:p w:rsidR="00B61EA6" w:rsidRPr="008F4611" w:rsidRDefault="00B61EA6" w:rsidP="00B61EA6">
                  <w:r>
                    <w:t>Haptischer Typ</w:t>
                  </w:r>
                </w:p>
              </w:txbxContent>
            </v:textbox>
          </v:shape>
        </w:pict>
      </w:r>
      <w:r>
        <w:rPr>
          <w:noProof/>
          <w:lang w:eastAsia="de-AT"/>
        </w:rPr>
        <w:drawing>
          <wp:inline distT="0" distB="0" distL="0" distR="0">
            <wp:extent cx="5352641" cy="3208910"/>
            <wp:effectExtent l="12209" t="6095" r="7250" b="0"/>
            <wp:docPr id="1" name="Diagram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61EA6" w:rsidRDefault="00B61EA6" w:rsidP="00B61EA6">
      <w:pPr>
        <w:pStyle w:val="Beschriftung"/>
      </w:pPr>
      <w:bookmarkStart w:id="1" w:name="_Toc266053541"/>
      <w:r>
        <w:t xml:space="preserve">Abbildung </w:t>
      </w:r>
      <w:fldSimple w:instr=" SEQ Abbildung \* ARABIC ">
        <w:r>
          <w:rPr>
            <w:noProof/>
          </w:rPr>
          <w:t>10</w:t>
        </w:r>
      </w:fldSimple>
      <w:r>
        <w:t xml:space="preserve">: Mittelwerte </w:t>
      </w:r>
      <w:proofErr w:type="spellStart"/>
      <w:r>
        <w:t>Lerntyp</w:t>
      </w:r>
      <w:bookmarkEnd w:id="1"/>
      <w:proofErr w:type="spellEnd"/>
    </w:p>
    <w:p w:rsidR="00B61EA6" w:rsidRPr="005C62AD" w:rsidRDefault="00B61EA6" w:rsidP="00B61EA6"/>
    <w:p w:rsidR="00B61EA6" w:rsidRDefault="00B61EA6" w:rsidP="00B61EA6">
      <w:r>
        <w:t>Wie man aus den beiden  Grafiken erkennen kann, haben sowohl Mädchen als auch Burschen eher einen kommunikativen und emotionalen Zugang zum Lernen.</w:t>
      </w:r>
    </w:p>
    <w:p w:rsidR="00B61EA6" w:rsidRDefault="00B61EA6" w:rsidP="00B61EA6">
      <w:r>
        <w:t xml:space="preserve">Daher sollen speziell das Drehen von Video-Podcasts, die Erstellung von Portfolios in Teamarbeit und das Vernetzen über die Plattform </w:t>
      </w:r>
      <w:proofErr w:type="spellStart"/>
      <w:r>
        <w:t>Moodle</w:t>
      </w:r>
      <w:proofErr w:type="spellEnd"/>
      <w:r>
        <w:t xml:space="preserve"> zur Motivation anregen.</w:t>
      </w:r>
    </w:p>
    <w:p w:rsidR="00B61EA6" w:rsidRDefault="00B61EA6" w:rsidP="00B61EA6">
      <w:r>
        <w:t xml:space="preserve">Signifikante Unterschiede zwischen Mädchen und Burschen gab es beim rationellen </w:t>
      </w:r>
      <w:proofErr w:type="spellStart"/>
      <w:r>
        <w:t>Lernstil</w:t>
      </w:r>
      <w:proofErr w:type="spellEnd"/>
      <w:r>
        <w:t xml:space="preserve"> und beim auditiven </w:t>
      </w:r>
      <w:proofErr w:type="spellStart"/>
      <w:r>
        <w:t>Lerntyp</w:t>
      </w:r>
      <w:proofErr w:type="spellEnd"/>
      <w:r>
        <w:t>: Auf Burschen trifft dies eher zu, als auf Mädchen.</w:t>
      </w:r>
    </w:p>
    <w:p w:rsidR="00B61EA6" w:rsidRDefault="00B61EA6" w:rsidP="00B61EA6">
      <w:r>
        <w:t xml:space="preserve">Für jene, die eher einen individuellen </w:t>
      </w:r>
      <w:proofErr w:type="spellStart"/>
      <w:r>
        <w:t>Lernstil</w:t>
      </w:r>
      <w:proofErr w:type="spellEnd"/>
      <w:r>
        <w:t xml:space="preserve"> haben, bieten die bereitgestellten Unterrichtsmaterialien und Links auf </w:t>
      </w:r>
      <w:proofErr w:type="spellStart"/>
      <w:r>
        <w:t>Moodle</w:t>
      </w:r>
      <w:proofErr w:type="spellEnd"/>
      <w:r>
        <w:t xml:space="preserve"> eine Möglichkeit zu lernen und das Wissen zu vertiefen. Dazu dient auch das „Forschungsheft“ in Mathematik.</w:t>
      </w:r>
    </w:p>
    <w:p w:rsidR="00B61EA6" w:rsidRDefault="00B61EA6" w:rsidP="00B61EA6">
      <w:r>
        <w:t>Für die haptischen Lerntypen soll das Computerspiel „The Movies“ Freude am Lernen bringen.</w:t>
      </w:r>
    </w:p>
    <w:p w:rsidR="00B61EA6" w:rsidRDefault="00B61EA6" w:rsidP="00B61EA6">
      <w:r>
        <w:t xml:space="preserve">Die Motivation darf im Lernprozess nicht unterschätzt werden. </w:t>
      </w:r>
      <w:r w:rsidRPr="00BA7B0F">
        <w:t xml:space="preserve">Untersuchungen </w:t>
      </w:r>
      <w:r>
        <w:t>zeigen, dass sich aus einer guten Motivation meist ein hohes Interesse, ein besseres Engagement im Lernprozess und auch ein besserer Lernerfolg ergeben. (vgl. Rolf Meier, Praxis E-</w:t>
      </w:r>
      <w:proofErr w:type="spellStart"/>
      <w:r>
        <w:t>learning</w:t>
      </w:r>
      <w:proofErr w:type="spellEnd"/>
      <w:r>
        <w:t>, 2006)</w:t>
      </w:r>
    </w:p>
    <w:p w:rsidR="00B61EA6" w:rsidRDefault="00B61EA6" w:rsidP="00B61EA6">
      <w:r>
        <w:t>An die Motivation sind vier Anforderungen zu stellen:</w:t>
      </w:r>
    </w:p>
    <w:p w:rsidR="00B61EA6" w:rsidRDefault="00B61EA6" w:rsidP="00B61EA6">
      <w:r>
        <w:t>1. Sie muss eine hohe Kraft besitzen.</w:t>
      </w:r>
    </w:p>
    <w:p w:rsidR="00B61EA6" w:rsidRDefault="00B61EA6" w:rsidP="00B61EA6">
      <w:r>
        <w:t>2. Sie muss themenbezogen sein.</w:t>
      </w:r>
    </w:p>
    <w:p w:rsidR="00B61EA6" w:rsidRDefault="00B61EA6" w:rsidP="00B61EA6">
      <w:r>
        <w:t>3. Sie muss auf die Zielgruppe ausgerichtet sein.</w:t>
      </w:r>
    </w:p>
    <w:p w:rsidR="00B61EA6" w:rsidRDefault="00B61EA6" w:rsidP="00B61EA6">
      <w:r>
        <w:t>4. Sie sollte eine Aktivierung der Teilnehmer ermöglichen.</w:t>
      </w:r>
    </w:p>
    <w:p w:rsidR="00B61EA6" w:rsidRDefault="00B61EA6" w:rsidP="00B61EA6">
      <w:r>
        <w:t>Eine ähnliche Bedeutung hat eine gute Strukturierung. Eine Übersicht über den Lernstoff, eine erste Orientierung hilft den Lernenden Informationen einzuordnen und Bezüge zu vorhandenem Wissen herzustellen.</w:t>
      </w:r>
    </w:p>
    <w:p w:rsidR="00B61EA6" w:rsidRDefault="00B61EA6" w:rsidP="00B61EA6">
      <w:r>
        <w:lastRenderedPageBreak/>
        <w:t xml:space="preserve">Der US-amerikanische Psychologe und Pädagoge Robert </w:t>
      </w:r>
      <w:proofErr w:type="spellStart"/>
      <w:r>
        <w:t>Gagne</w:t>
      </w:r>
      <w:proofErr w:type="spellEnd"/>
      <w:r>
        <w:t xml:space="preserve"> gliedert die Motivation- und Orientierungsphase etwas anders. Er unterscheidet drei Schritte:</w:t>
      </w:r>
    </w:p>
    <w:p w:rsidR="00B61EA6" w:rsidRDefault="00B61EA6" w:rsidP="00B61EA6">
      <w:r>
        <w:t>1. Aufmerksamkeit erzeugen - über Motivation die nötige Konzentration zum Lernen schaffen</w:t>
      </w:r>
    </w:p>
    <w:p w:rsidR="00B61EA6" w:rsidRDefault="00B61EA6" w:rsidP="00B61EA6">
      <w:r>
        <w:t>2. Lernziele verdeutlichen - eine Erwartung zum persönlichen Nutzen des Lernens aufbauen</w:t>
      </w:r>
    </w:p>
    <w:p w:rsidR="00B61EA6" w:rsidRDefault="00B61EA6" w:rsidP="00B61EA6">
      <w:r>
        <w:t>3. Vorwissen aktivieren - an vorhandenes Wissen anknüpfen, um die Einbettung der neuen Inhalte zu erleichtern.</w:t>
      </w:r>
    </w:p>
    <w:p w:rsidR="00B61EA6" w:rsidRDefault="00B61EA6" w:rsidP="00B61EA6">
      <w:r>
        <w:t xml:space="preserve">Durch den Einsatz der Lernplattform </w:t>
      </w:r>
      <w:proofErr w:type="spellStart"/>
      <w:r>
        <w:t>Moodle</w:t>
      </w:r>
      <w:proofErr w:type="spellEnd"/>
      <w:r>
        <w:t xml:space="preserve"> gelingt es, das Wissen zu strukturieren und jederzeit und an jedem Ort abzurufen, außerdem kann auch das Vorwissen jederzeit „aktiviert“ bzw. nachgelesen werden.</w:t>
      </w:r>
    </w:p>
    <w:p w:rsidR="00B61EA6" w:rsidRDefault="00B61EA6" w:rsidP="00B61EA6">
      <w:r>
        <w:t>Zum Lernen tragen natürlich eine gute Verständlichkeit und eine hohe Anschaulichkeit bei. Sind Gefühle im Spiel, hat der Einzelne mehr Spaß am Lernen und behält nachweislich mehr.</w:t>
      </w:r>
    </w:p>
    <w:p w:rsidR="00B61EA6" w:rsidRDefault="00B61EA6" w:rsidP="00B61EA6">
      <w:r>
        <w:t>Durch Übungen verschiedener Schwierigkeitsgrade mit unterschiedlichem Umfang kann individuell auf die unterschiedlichen Vorkenntnisse eingegangen werden.</w:t>
      </w:r>
    </w:p>
    <w:p w:rsidR="00B61EA6" w:rsidRDefault="00B61EA6" w:rsidP="00B61EA6">
      <w:r>
        <w:t>Auch Wiederholungen sind ein wichtiger Bestandteil des Lernprozesses. Die Lernenden müssen einbezogen und aktiviert werden. So sind Lernwiederholungen lernwirksamer und haben auch einen Kontrollaspekt. Bei den erstellten E-Tests wird die Rückmeldung automatisch nach Beendigung des Tests gegeben. Falls man falsch antwortet, kann man das Lösungswort ändern und erneut kontrollieren.</w:t>
      </w:r>
    </w:p>
    <w:p w:rsidR="00B61EA6" w:rsidRDefault="00B61EA6" w:rsidP="00B61EA6">
      <w:r>
        <w:t>E-Tests können auch vor dem Lernprozess verwendet werden, um festzustellen, was der Lernende bereits weiß. So kann auch individuell weitergearbeitet werden.</w:t>
      </w:r>
    </w:p>
    <w:p w:rsidR="00B61EA6" w:rsidRDefault="00B61EA6" w:rsidP="00B61EA6"/>
    <w:p w:rsidR="00B61EA6" w:rsidRDefault="00B61EA6" w:rsidP="00B61EA6"/>
    <w:p w:rsidR="00F025AC" w:rsidRDefault="00F025AC"/>
    <w:sectPr w:rsidR="00F025AC" w:rsidSect="00F025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compat/>
  <w:rsids>
    <w:rsidRoot w:val="00B61EA6"/>
    <w:rsid w:val="00B61EA6"/>
    <w:rsid w:val="00F025AC"/>
    <w:rsid w:val="00F54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1EA6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nhideWhenUsed/>
    <w:qFormat/>
    <w:rsid w:val="00B61EA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EA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EA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ppe1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Mappe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de-AT"/>
  <c:chart>
    <c:title>
      <c:tx>
        <c:rich>
          <a:bodyPr/>
          <a:lstStyle/>
          <a:p>
            <a:pPr>
              <a:defRPr lang="de-AT"/>
            </a:pPr>
            <a:r>
              <a:rPr lang="de-AT"/>
              <a:t>Lernstil</a:t>
            </a:r>
          </a:p>
        </c:rich>
      </c:tx>
    </c:title>
    <c:plotArea>
      <c:layout/>
      <c:scatterChart>
        <c:scatterStyle val="lineMarker"/>
        <c:ser>
          <c:idx val="1"/>
          <c:order val="1"/>
          <c:tx>
            <c:v>weiblich</c:v>
          </c:tx>
          <c:xVal>
            <c:numRef>
              <c:f>Tabelle1!$C$36:$C$41</c:f>
              <c:numCache>
                <c:formatCode>General</c:formatCode>
                <c:ptCount val="6"/>
                <c:pt idx="0">
                  <c:v>3.1080999999999999</c:v>
                </c:pt>
                <c:pt idx="1">
                  <c:v>2.5135000000000001</c:v>
                </c:pt>
                <c:pt idx="2">
                  <c:v>1.8377999999999968</c:v>
                </c:pt>
                <c:pt idx="3">
                  <c:v>1.7567999999999977</c:v>
                </c:pt>
                <c:pt idx="4">
                  <c:v>2.3513999999999977</c:v>
                </c:pt>
                <c:pt idx="5">
                  <c:v>2.7838000000000012</c:v>
                </c:pt>
              </c:numCache>
            </c:numRef>
          </c:xVal>
          <c:yVal>
            <c:numRef>
              <c:f>Tabelle1!$B$36:$B$41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</c:numRef>
          </c:yVal>
        </c:ser>
        <c:ser>
          <c:idx val="0"/>
          <c:order val="0"/>
          <c:tx>
            <c:v>männlich</c:v>
          </c:tx>
          <c:xVal>
            <c:numRef>
              <c:f>Tabelle1!$D$36:$D$41</c:f>
              <c:numCache>
                <c:formatCode>General</c:formatCode>
                <c:ptCount val="6"/>
                <c:pt idx="0">
                  <c:v>2.7856999999999998</c:v>
                </c:pt>
                <c:pt idx="1">
                  <c:v>2.25</c:v>
                </c:pt>
                <c:pt idx="2">
                  <c:v>2.6071000000000057</c:v>
                </c:pt>
                <c:pt idx="3">
                  <c:v>2</c:v>
                </c:pt>
                <c:pt idx="4">
                  <c:v>2.3213999999999997</c:v>
                </c:pt>
                <c:pt idx="5">
                  <c:v>2.75</c:v>
                </c:pt>
              </c:numCache>
            </c:numRef>
          </c:xVal>
          <c:yVal>
            <c:numRef>
              <c:f>Tabelle1!$B$36:$B$41</c:f>
              <c:numCache>
                <c:formatCode>General</c:formatCode>
                <c:ptCount val="6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</c:numCache>
            </c:numRef>
          </c:yVal>
        </c:ser>
        <c:axId val="287679616"/>
        <c:axId val="287681152"/>
      </c:scatterChart>
      <c:valAx>
        <c:axId val="287679616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lang="de-AT"/>
            </a:pPr>
            <a:endParaRPr lang="de-DE"/>
          </a:p>
        </c:txPr>
        <c:crossAx val="287681152"/>
        <c:crosses val="autoZero"/>
        <c:crossBetween val="midCat"/>
      </c:valAx>
      <c:valAx>
        <c:axId val="287681152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287679616"/>
        <c:crosses val="autoZero"/>
        <c:crossBetween val="midCat"/>
      </c:valAx>
    </c:plotArea>
    <c:legend>
      <c:legendPos val="r"/>
      <c:txPr>
        <a:bodyPr/>
        <a:lstStyle/>
        <a:p>
          <a:pPr>
            <a:defRPr lang="de-AT"/>
          </a:pPr>
          <a:endParaRPr lang="de-DE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de-AT"/>
  <c:chart>
    <c:title>
      <c:tx>
        <c:rich>
          <a:bodyPr/>
          <a:lstStyle/>
          <a:p>
            <a:pPr>
              <a:defRPr lang="de-AT"/>
            </a:pPr>
            <a:r>
              <a:rPr lang="de-AT"/>
              <a:t>Lerntyp</a:t>
            </a:r>
          </a:p>
        </c:rich>
      </c:tx>
      <c:layout>
        <c:manualLayout>
          <c:xMode val="edge"/>
          <c:yMode val="edge"/>
          <c:x val="0.34533333333333333"/>
          <c:y val="3.2407407407407579E-2"/>
        </c:manualLayout>
      </c:layout>
    </c:title>
    <c:plotArea>
      <c:layout/>
      <c:scatterChart>
        <c:scatterStyle val="lineMarker"/>
        <c:ser>
          <c:idx val="1"/>
          <c:order val="1"/>
          <c:tx>
            <c:v>weiblich</c:v>
          </c:tx>
          <c:xVal>
            <c:numRef>
              <c:f>Tabelle2!$D$20:$D$22</c:f>
              <c:numCache>
                <c:formatCode>General</c:formatCode>
                <c:ptCount val="3"/>
                <c:pt idx="0">
                  <c:v>4.0833333333333472</c:v>
                </c:pt>
                <c:pt idx="1">
                  <c:v>4.1111111111111107</c:v>
                </c:pt>
                <c:pt idx="2">
                  <c:v>4.4444444444444464</c:v>
                </c:pt>
              </c:numCache>
            </c:numRef>
          </c:xVal>
          <c:yVal>
            <c:numRef>
              <c:f>Tabelle2!$C$20:$C$22</c:f>
              <c:numCache>
                <c:formatCode>General</c:formatCod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numCache>
            </c:numRef>
          </c:yVal>
        </c:ser>
        <c:ser>
          <c:idx val="0"/>
          <c:order val="0"/>
          <c:tx>
            <c:v>männlich</c:v>
          </c:tx>
          <c:xVal>
            <c:numRef>
              <c:f>Tabelle2!$E$20:$E$22</c:f>
              <c:numCache>
                <c:formatCode>General</c:formatCode>
                <c:ptCount val="3"/>
                <c:pt idx="0">
                  <c:v>5.0357142857142874</c:v>
                </c:pt>
                <c:pt idx="1">
                  <c:v>3.4642857142857144</c:v>
                </c:pt>
                <c:pt idx="2">
                  <c:v>4.3214285714285685</c:v>
                </c:pt>
              </c:numCache>
            </c:numRef>
          </c:xVal>
          <c:yVal>
            <c:numRef>
              <c:f>Tabelle2!$C$20:$C$22</c:f>
              <c:numCache>
                <c:formatCode>General</c:formatCod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numCache>
            </c:numRef>
          </c:yVal>
        </c:ser>
        <c:axId val="287595520"/>
        <c:axId val="287597312"/>
      </c:scatterChart>
      <c:valAx>
        <c:axId val="28759552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lang="de-AT"/>
            </a:pPr>
            <a:endParaRPr lang="de-DE"/>
          </a:p>
        </c:txPr>
        <c:crossAx val="287597312"/>
        <c:crosses val="autoZero"/>
        <c:crossBetween val="midCat"/>
      </c:valAx>
      <c:valAx>
        <c:axId val="287597312"/>
        <c:scaling>
          <c:orientation val="minMax"/>
          <c:max val="3"/>
          <c:min val="0"/>
        </c:scaling>
        <c:delete val="1"/>
        <c:axPos val="l"/>
        <c:majorGridlines/>
        <c:numFmt formatCode="#,##0.00" sourceLinked="0"/>
        <c:tickLblPos val="none"/>
        <c:crossAx val="287595520"/>
        <c:crosses val="autoZero"/>
        <c:crossBetween val="midCat"/>
        <c:majorUnit val="1"/>
        <c:minorUnit val="4.0000000000000042E-2"/>
      </c:valAx>
    </c:plotArea>
    <c:legend>
      <c:legendPos val="r"/>
      <c:txPr>
        <a:bodyPr/>
        <a:lstStyle/>
        <a:p>
          <a:pPr>
            <a:defRPr lang="de-AT"/>
          </a:pPr>
          <a:endParaRPr lang="de-DE"/>
        </a:p>
      </c:txPr>
    </c:legend>
    <c:plotVisOnly val="1"/>
  </c:chart>
  <c:externalData r:id="rId1"/>
  <c:userShapes r:id="rId2"/>
</c:chartSpace>
</file>

<file path=word/drawing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5" Type="http://schemas.openxmlformats.org/officeDocument/2006/relationships/image" Target="../media/image5.png"/><Relationship Id="rId4" Type="http://schemas.openxmlformats.org/officeDocument/2006/relationships/image" Target="../media/image4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0.69977</cdr:x>
      <cdr:y>0.88056</cdr:y>
    </cdr:from>
    <cdr:to>
      <cdr:x>0.80167</cdr:x>
      <cdr:y>0.98056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3409950" y="2636964"/>
          <a:ext cx="496601" cy="299493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0.51525</cdr:x>
      <cdr:y>0.8855</cdr:y>
    </cdr:from>
    <cdr:to>
      <cdr:x>0.65911</cdr:x>
      <cdr:y>0.97711</cdr:y>
    </cdr:to>
    <cdr:pic>
      <cdr:nvPicPr>
        <cdr:cNvPr id="4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2"/>
        <a:stretch xmlns:a="http://schemas.openxmlformats.org/drawingml/2006/main">
          <a:fillRect/>
        </a:stretch>
      </cdr:blipFill>
      <cdr:spPr>
        <a:xfrm xmlns:a="http://schemas.openxmlformats.org/drawingml/2006/main">
          <a:off x="2510790" y="2651760"/>
          <a:ext cx="701040" cy="274344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0.3448</cdr:x>
      <cdr:y>0.8855</cdr:y>
    </cdr:from>
    <cdr:to>
      <cdr:x>0.46521</cdr:x>
      <cdr:y>0.97711</cdr:y>
    </cdr:to>
    <cdr:pic>
      <cdr:nvPicPr>
        <cdr:cNvPr id="6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3"/>
        <a:stretch xmlns:a="http://schemas.openxmlformats.org/drawingml/2006/main">
          <a:fillRect/>
        </a:stretch>
      </cdr:blipFill>
      <cdr:spPr>
        <a:xfrm xmlns:a="http://schemas.openxmlformats.org/drawingml/2006/main">
          <a:off x="1680210" y="2651760"/>
          <a:ext cx="586740" cy="274344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0.15246</cdr:x>
      <cdr:y>0.8855</cdr:y>
    </cdr:from>
    <cdr:to>
      <cdr:x>0.29476</cdr:x>
      <cdr:y>0.97711</cdr:y>
    </cdr:to>
    <cdr:pic>
      <cdr:nvPicPr>
        <cdr:cNvPr id="7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4"/>
        <a:stretch xmlns:a="http://schemas.openxmlformats.org/drawingml/2006/main">
          <a:fillRect/>
        </a:stretch>
      </cdr:blipFill>
      <cdr:spPr>
        <a:xfrm xmlns:a="http://schemas.openxmlformats.org/drawingml/2006/main">
          <a:off x="742950" y="2651760"/>
          <a:ext cx="693420" cy="274344"/>
        </a:xfrm>
        <a:prstGeom xmlns:a="http://schemas.openxmlformats.org/drawingml/2006/main" prst="rect">
          <a:avLst/>
        </a:prstGeom>
      </cdr:spPr>
    </cdr:pic>
  </cdr:relSizeAnchor>
  <cdr:relSizeAnchor xmlns:cdr="http://schemas.openxmlformats.org/drawingml/2006/chartDrawing">
    <cdr:from>
      <cdr:x>0.0172</cdr:x>
      <cdr:y>0.88804</cdr:y>
    </cdr:from>
    <cdr:to>
      <cdr:x>0.13213</cdr:x>
      <cdr:y>0.97965</cdr:y>
    </cdr:to>
    <cdr:pic>
      <cdr:nvPicPr>
        <cdr:cNvPr id="9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5"/>
        <a:stretch xmlns:a="http://schemas.openxmlformats.org/drawingml/2006/main">
          <a:fillRect/>
        </a:stretch>
      </cdr:blipFill>
      <cdr:spPr>
        <a:xfrm xmlns:a="http://schemas.openxmlformats.org/drawingml/2006/main">
          <a:off x="83820" y="2659380"/>
          <a:ext cx="560070" cy="274344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1</cp:revision>
  <dcterms:created xsi:type="dcterms:W3CDTF">2010-07-06T20:16:00Z</dcterms:created>
  <dcterms:modified xsi:type="dcterms:W3CDTF">2010-07-06T20:21:00Z</dcterms:modified>
</cp:coreProperties>
</file>